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F7" w:rsidRPr="001A03FB" w:rsidRDefault="00A345F7" w:rsidP="00A345F7">
      <w:pPr>
        <w:widowControl/>
        <w:suppressAutoHyphens w:val="0"/>
        <w:autoSpaceDE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Приложение№2</w:t>
      </w:r>
    </w:p>
    <w:p w:rsidR="00A345F7" w:rsidRDefault="00A345F7" w:rsidP="00A345F7">
      <w:pPr>
        <w:pStyle w:val="a3"/>
        <w:tabs>
          <w:tab w:val="left" w:pos="142"/>
        </w:tabs>
        <w:jc w:val="right"/>
        <w:rPr>
          <w:bCs/>
          <w:sz w:val="20"/>
          <w:szCs w:val="22"/>
        </w:rPr>
      </w:pPr>
      <w:r w:rsidRPr="001A03FB">
        <w:rPr>
          <w:bCs/>
          <w:sz w:val="20"/>
          <w:szCs w:val="22"/>
        </w:rPr>
        <w:t>к плану организ</w:t>
      </w:r>
      <w:r>
        <w:rPr>
          <w:bCs/>
          <w:sz w:val="20"/>
          <w:szCs w:val="22"/>
        </w:rPr>
        <w:t xml:space="preserve">ации и производства газоопасных </w:t>
      </w:r>
      <w:r w:rsidRPr="001A03FB">
        <w:rPr>
          <w:bCs/>
          <w:sz w:val="20"/>
          <w:szCs w:val="22"/>
        </w:rPr>
        <w:t>работ</w:t>
      </w:r>
      <w:r>
        <w:rPr>
          <w:bCs/>
          <w:sz w:val="20"/>
          <w:szCs w:val="22"/>
        </w:rPr>
        <w:t xml:space="preserve"> </w:t>
      </w:r>
    </w:p>
    <w:p w:rsidR="00A345F7" w:rsidRDefault="00A345F7" w:rsidP="00A345F7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2055FB">
        <w:rPr>
          <w:sz w:val="20"/>
          <w:szCs w:val="20"/>
        </w:rPr>
        <w:t xml:space="preserve">по ремонту запорной арматуры в ГК №186 по ул. 51 Армии, 107; </w:t>
      </w:r>
    </w:p>
    <w:p w:rsidR="00A345F7" w:rsidRDefault="00A345F7" w:rsidP="00A345F7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2055FB">
        <w:rPr>
          <w:sz w:val="20"/>
          <w:szCs w:val="20"/>
        </w:rPr>
        <w:t xml:space="preserve">в ГК№179 по ул. Солнечная / ул. Бетховена; </w:t>
      </w:r>
    </w:p>
    <w:p w:rsidR="00A345F7" w:rsidRDefault="00A345F7" w:rsidP="00A345F7">
      <w:pPr>
        <w:pStyle w:val="a3"/>
        <w:tabs>
          <w:tab w:val="left" w:pos="142"/>
        </w:tabs>
        <w:jc w:val="right"/>
        <w:rPr>
          <w:lang w:eastAsia="ru-RU"/>
        </w:rPr>
      </w:pPr>
      <w:r w:rsidRPr="002055FB">
        <w:rPr>
          <w:sz w:val="20"/>
          <w:szCs w:val="20"/>
        </w:rPr>
        <w:t xml:space="preserve">в ГК №145 по ул. Мате </w:t>
      </w:r>
      <w:proofErr w:type="spellStart"/>
      <w:r w:rsidRPr="002055FB">
        <w:rPr>
          <w:sz w:val="20"/>
          <w:szCs w:val="20"/>
        </w:rPr>
        <w:t>Залки</w:t>
      </w:r>
      <w:proofErr w:type="spellEnd"/>
      <w:r w:rsidRPr="002055FB">
        <w:rPr>
          <w:sz w:val="20"/>
          <w:szCs w:val="20"/>
        </w:rPr>
        <w:t>, 5 в г. Симферополь.</w:t>
      </w:r>
    </w:p>
    <w:p w:rsidR="00A345F7" w:rsidRDefault="00A345F7" w:rsidP="00A345F7">
      <w:pPr>
        <w:ind w:firstLine="6804"/>
        <w:rPr>
          <w:rFonts w:ascii="Times New Roman" w:hAnsi="Times New Roman" w:cs="Times New Roman"/>
          <w:sz w:val="20"/>
          <w:szCs w:val="28"/>
        </w:rPr>
      </w:pPr>
    </w:p>
    <w:p w:rsidR="00A345F7" w:rsidRPr="006C7B69" w:rsidRDefault="00A345F7" w:rsidP="00A345F7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  <w:r w:rsidRPr="006C7B69">
        <w:rPr>
          <w:rFonts w:ascii="Times New Roman" w:hAnsi="Times New Roman"/>
          <w:b/>
          <w:sz w:val="24"/>
          <w:szCs w:val="32"/>
        </w:rPr>
        <w:t>ПЕРЕЧЕНЬ УЛИЦ</w:t>
      </w:r>
    </w:p>
    <w:p w:rsidR="00A345F7" w:rsidRPr="006C7B69" w:rsidRDefault="00A345F7" w:rsidP="00A345F7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  <w:r w:rsidRPr="006C7B69">
        <w:rPr>
          <w:rFonts w:ascii="Times New Roman" w:hAnsi="Times New Roman"/>
          <w:b/>
          <w:sz w:val="24"/>
          <w:szCs w:val="32"/>
        </w:rPr>
        <w:t xml:space="preserve"> в г.</w:t>
      </w:r>
      <w:r>
        <w:rPr>
          <w:rFonts w:ascii="Times New Roman" w:hAnsi="Times New Roman"/>
          <w:b/>
          <w:sz w:val="24"/>
          <w:szCs w:val="32"/>
        </w:rPr>
        <w:t xml:space="preserve"> </w:t>
      </w:r>
      <w:r w:rsidRPr="006C7B69">
        <w:rPr>
          <w:rFonts w:ascii="Times New Roman" w:hAnsi="Times New Roman"/>
          <w:b/>
          <w:sz w:val="24"/>
          <w:szCs w:val="32"/>
        </w:rPr>
        <w:t>Симферополь, по которым</w:t>
      </w:r>
    </w:p>
    <w:p w:rsidR="00A345F7" w:rsidRDefault="00A345F7" w:rsidP="00A345F7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  <w:r w:rsidRPr="006C7B69">
        <w:rPr>
          <w:rFonts w:ascii="Times New Roman" w:hAnsi="Times New Roman"/>
          <w:b/>
          <w:sz w:val="24"/>
          <w:szCs w:val="32"/>
        </w:rPr>
        <w:t>временно будет приостановлено газоснабжение на время проведения работ (население)</w:t>
      </w:r>
    </w:p>
    <w:p w:rsidR="00A345F7" w:rsidRDefault="00A345F7" w:rsidP="00A345F7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129"/>
      </w:tblGrid>
      <w:tr w:rsidR="00A345F7" w:rsidRPr="000F23EB" w:rsidTr="005B1AE3">
        <w:trPr>
          <w:trHeight w:val="243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 w:rsidRPr="000F23EB">
              <w:rPr>
                <w:rFonts w:ascii="Times New Roman" w:hAnsi="Times New Roman"/>
                <w:szCs w:val="32"/>
              </w:rPr>
              <w:t>1</w:t>
            </w:r>
            <w:r>
              <w:rPr>
                <w:rFonts w:ascii="Times New Roman" w:hAnsi="Times New Roman"/>
                <w:szCs w:val="32"/>
              </w:rPr>
              <w:t>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Автомобилистов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 w:rsidRPr="000F23EB">
              <w:rPr>
                <w:rFonts w:ascii="Times New Roman" w:hAnsi="Times New Roman"/>
                <w:szCs w:val="32"/>
              </w:rPr>
              <w:t>2</w:t>
            </w:r>
            <w:r>
              <w:rPr>
                <w:rFonts w:ascii="Times New Roman" w:hAnsi="Times New Roman"/>
                <w:szCs w:val="32"/>
              </w:rPr>
              <w:t>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Вернадского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Войтенко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Давыдова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5. 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Ерошенко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6.</w:t>
            </w:r>
          </w:p>
        </w:tc>
        <w:tc>
          <w:tcPr>
            <w:tcW w:w="8355" w:type="dxa"/>
            <w:shd w:val="clear" w:color="auto" w:fill="auto"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Заклюки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7.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Когемли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8.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Косухина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9.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Луцкого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10.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Мамак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11. 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Раатлык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12.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Северского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13.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Селиванова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14. 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Стаценко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15. 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Талдалы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16.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Тынч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17.</w:t>
            </w:r>
          </w:p>
        </w:tc>
        <w:tc>
          <w:tcPr>
            <w:tcW w:w="8355" w:type="dxa"/>
            <w:shd w:val="clear" w:color="auto" w:fill="auto"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Федоренко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18.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Чамлы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19.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Чукурча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20.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Шефталилик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21.</w:t>
            </w:r>
          </w:p>
        </w:tc>
        <w:tc>
          <w:tcPr>
            <w:tcW w:w="8355" w:type="dxa"/>
            <w:shd w:val="clear" w:color="auto" w:fill="auto"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Cs w:val="32"/>
              </w:rPr>
              <w:t>Шефталилик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22.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Cs w:val="32"/>
              </w:rPr>
              <w:t>Мамак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23.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пер. Софийский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24.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Cs w:val="32"/>
              </w:rPr>
              <w:t>Тынч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25.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Cs w:val="32"/>
              </w:rPr>
              <w:t>Чукурча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26.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Матвеева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27.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Луговая + коттеджи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28.</w:t>
            </w:r>
          </w:p>
        </w:tc>
        <w:tc>
          <w:tcPr>
            <w:tcW w:w="8355" w:type="dxa"/>
            <w:shd w:val="clear" w:color="auto" w:fill="auto"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Левобережная СОТ «Дружба»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29.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Совхозная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30.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Тепличная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31.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Овощная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32.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A86799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Хачатряна</w:t>
            </w:r>
            <w:proofErr w:type="spellEnd"/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33.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Дальняя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34.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Дачная, 22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35.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И. Федько, 16, 8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36.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Комсомольская, 4, 6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37.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Крупской, 3-А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38.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Воровского, 24 (ЖК «Альфа», «Омега»), 24-26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39.</w:t>
            </w:r>
          </w:p>
        </w:tc>
        <w:tc>
          <w:tcPr>
            <w:tcW w:w="8355" w:type="dxa"/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пер. Смежный, 10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40.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Тургенева, 21; 23 уч. 11; 11-Б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41.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Гаспринского</w:t>
            </w:r>
            <w:proofErr w:type="spellEnd"/>
            <w:r>
              <w:rPr>
                <w:rFonts w:ascii="Times New Roman" w:hAnsi="Times New Roman"/>
                <w:szCs w:val="32"/>
              </w:rPr>
              <w:t xml:space="preserve">, 3-А; 3-Б; 3-В; 3-Г; </w:t>
            </w:r>
            <w:r w:rsidRPr="00BF501D">
              <w:rPr>
                <w:rFonts w:ascii="Times New Roman" w:hAnsi="Times New Roman"/>
                <w:szCs w:val="32"/>
              </w:rPr>
              <w:t>7</w:t>
            </w:r>
            <w:r>
              <w:rPr>
                <w:rFonts w:ascii="Times New Roman" w:hAnsi="Times New Roman"/>
                <w:szCs w:val="32"/>
              </w:rPr>
              <w:t>; 7-А; 7-Б; 7-В; 7-Г; 7-Д; 9-А; 9-Б; 5-А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42.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32"/>
              </w:rPr>
              <w:t>Битакская</w:t>
            </w:r>
            <w:proofErr w:type="spellEnd"/>
            <w:r>
              <w:rPr>
                <w:rFonts w:ascii="Times New Roman" w:hAnsi="Times New Roman"/>
                <w:szCs w:val="32"/>
              </w:rPr>
              <w:t>, 17  ЖК «Таврический»; 34; 50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43.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пр. Победы, 12; 76-Б; 80; 101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44.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пр. Победы, 36 / ул. Островского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lastRenderedPageBreak/>
              <w:t>45.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пр. Кирова, 49 ЖК «Дипломат»; 49-В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46.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Фруктовая, 3; 5; 25-А; 25-Б; 35; 23; 27; 28/38; 35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47.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F15E12" w:rsidRDefault="00A345F7" w:rsidP="005B1AE3">
            <w:pPr>
              <w:pStyle w:val="a4"/>
              <w:rPr>
                <w:rFonts w:ascii="Times New Roman" w:hAnsi="Times New Roman"/>
                <w:szCs w:val="32"/>
                <w:highlight w:val="yellow"/>
              </w:rPr>
            </w:pPr>
            <w:r>
              <w:rPr>
                <w:rFonts w:ascii="Times New Roman" w:hAnsi="Times New Roman"/>
                <w:szCs w:val="32"/>
              </w:rPr>
              <w:t>ул. 51 Армии, 55 ЖК «Симфония»</w:t>
            </w:r>
            <w:r w:rsidRPr="00F15E12">
              <w:rPr>
                <w:rFonts w:ascii="Times New Roman" w:hAnsi="Times New Roman"/>
                <w:szCs w:val="32"/>
              </w:rPr>
              <w:t>; 124 ЖК «Ботаника»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48.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F15E12" w:rsidRDefault="00A345F7" w:rsidP="005B1AE3">
            <w:pPr>
              <w:pStyle w:val="a4"/>
              <w:rPr>
                <w:rFonts w:ascii="Times New Roman" w:hAnsi="Times New Roman"/>
                <w:szCs w:val="32"/>
                <w:highlight w:val="yellow"/>
              </w:rPr>
            </w:pPr>
            <w:r>
              <w:rPr>
                <w:rFonts w:ascii="Times New Roman" w:hAnsi="Times New Roman"/>
                <w:szCs w:val="32"/>
              </w:rPr>
              <w:t>у</w:t>
            </w:r>
            <w:r w:rsidRPr="00F15E12">
              <w:rPr>
                <w:rFonts w:ascii="Times New Roman" w:hAnsi="Times New Roman"/>
                <w:szCs w:val="32"/>
              </w:rPr>
              <w:t>л. Московская, 12 кв. 8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F15E12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49</w:t>
            </w:r>
            <w:r w:rsidRPr="00F15E12">
              <w:rPr>
                <w:rFonts w:ascii="Times New Roman" w:hAnsi="Times New Roman"/>
                <w:szCs w:val="32"/>
              </w:rPr>
              <w:t>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F15E12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 w:rsidRPr="00F15E12">
              <w:rPr>
                <w:rFonts w:ascii="Times New Roman" w:hAnsi="Times New Roman"/>
                <w:szCs w:val="32"/>
              </w:rPr>
              <w:t>ул. Воровского, 20</w:t>
            </w:r>
          </w:p>
        </w:tc>
      </w:tr>
      <w:tr w:rsidR="00A345F7" w:rsidRPr="000F23EB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50.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F15E12" w:rsidRDefault="00A345F7" w:rsidP="005B1AE3">
            <w:pPr>
              <w:pStyle w:val="a4"/>
              <w:rPr>
                <w:rFonts w:ascii="Times New Roman" w:hAnsi="Times New Roman"/>
                <w:szCs w:val="32"/>
                <w:highlight w:val="yellow"/>
              </w:rPr>
            </w:pPr>
            <w:r>
              <w:rPr>
                <w:rFonts w:ascii="Times New Roman" w:hAnsi="Times New Roman"/>
                <w:szCs w:val="32"/>
              </w:rPr>
              <w:t>у</w:t>
            </w:r>
            <w:r w:rsidRPr="00F15E12">
              <w:rPr>
                <w:rFonts w:ascii="Times New Roman" w:hAnsi="Times New Roman"/>
                <w:szCs w:val="32"/>
              </w:rPr>
              <w:t>л. Фрунзе, 41-А ЖК «Триумф»</w:t>
            </w:r>
          </w:p>
        </w:tc>
      </w:tr>
      <w:tr w:rsidR="00A345F7" w:rsidRPr="00F15E12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51.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Буденного, 33 ЖК «Солнечный»</w:t>
            </w:r>
          </w:p>
        </w:tc>
      </w:tr>
      <w:tr w:rsidR="00A345F7" w:rsidRPr="00F15E12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52.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Репина, 104-108</w:t>
            </w:r>
          </w:p>
        </w:tc>
      </w:tr>
      <w:tr w:rsidR="00A345F7" w:rsidRPr="00F15E12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53.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пер. Садовый, 21</w:t>
            </w:r>
          </w:p>
        </w:tc>
      </w:tr>
      <w:tr w:rsidR="00A345F7" w:rsidRPr="00D932BC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54.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Садовая, 35-А, 31-А</w:t>
            </w:r>
          </w:p>
        </w:tc>
      </w:tr>
      <w:tr w:rsidR="00A345F7" w:rsidRPr="00D932BC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55.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Cs w:val="32"/>
              </w:rPr>
              <w:t>Строгоновка</w:t>
            </w:r>
            <w:proofErr w:type="spellEnd"/>
            <w:r>
              <w:rPr>
                <w:rFonts w:ascii="Times New Roman" w:hAnsi="Times New Roman"/>
                <w:szCs w:val="32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Cs w:val="32"/>
              </w:rPr>
              <w:t>Озенбаш</w:t>
            </w:r>
            <w:proofErr w:type="spellEnd"/>
            <w:r>
              <w:rPr>
                <w:rFonts w:ascii="Times New Roman" w:hAnsi="Times New Roman"/>
                <w:szCs w:val="32"/>
              </w:rPr>
              <w:t>, 11; 2</w:t>
            </w:r>
          </w:p>
        </w:tc>
      </w:tr>
      <w:tr w:rsidR="00A345F7" w:rsidRPr="00D932BC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56.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5F7" w:rsidRPr="00D932BC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 w:rsidRPr="00F474D1">
              <w:rPr>
                <w:rFonts w:ascii="Times New Roman" w:hAnsi="Times New Roman"/>
                <w:szCs w:val="32"/>
              </w:rPr>
              <w:t xml:space="preserve">ул. З. </w:t>
            </w:r>
            <w:proofErr w:type="spellStart"/>
            <w:r w:rsidRPr="00F474D1">
              <w:rPr>
                <w:rFonts w:ascii="Times New Roman" w:hAnsi="Times New Roman"/>
                <w:szCs w:val="32"/>
              </w:rPr>
              <w:t>Жильцовой</w:t>
            </w:r>
            <w:proofErr w:type="spellEnd"/>
            <w:r w:rsidRPr="00F474D1">
              <w:rPr>
                <w:rFonts w:ascii="Times New Roman" w:hAnsi="Times New Roman"/>
                <w:szCs w:val="32"/>
              </w:rPr>
              <w:t>,</w:t>
            </w:r>
            <w:r>
              <w:rPr>
                <w:rFonts w:ascii="Times New Roman" w:hAnsi="Times New Roman"/>
                <w:szCs w:val="32"/>
              </w:rPr>
              <w:t xml:space="preserve"> 14, 16, 18 (детский приют); 20</w:t>
            </w:r>
          </w:p>
        </w:tc>
      </w:tr>
      <w:tr w:rsidR="00A345F7" w:rsidRPr="00D932BC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57.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Куйбышева, 58, 56, 54, 54/2</w:t>
            </w:r>
          </w:p>
        </w:tc>
      </w:tr>
      <w:tr w:rsidR="00A345F7" w:rsidTr="005B1AE3">
        <w:trPr>
          <w:trHeight w:val="2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5F7" w:rsidRPr="000F23EB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58.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F7" w:rsidRDefault="00A345F7" w:rsidP="005B1AE3">
            <w:pPr>
              <w:pStyle w:val="a4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ул. Рубцова, 33, 44-А</w:t>
            </w:r>
          </w:p>
        </w:tc>
      </w:tr>
    </w:tbl>
    <w:p w:rsidR="00A345F7" w:rsidRPr="006C7B69" w:rsidRDefault="00A345F7" w:rsidP="00A345F7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A345F7" w:rsidRDefault="00A345F7" w:rsidP="00A345F7">
      <w:pPr>
        <w:rPr>
          <w:rFonts w:ascii="Times New Roman" w:hAnsi="Times New Roman" w:cs="Times New Roman"/>
          <w:sz w:val="20"/>
          <w:szCs w:val="28"/>
        </w:rPr>
      </w:pPr>
    </w:p>
    <w:p w:rsidR="00E80A16" w:rsidRDefault="00E80A16">
      <w:bookmarkStart w:id="0" w:name="_GoBack"/>
      <w:bookmarkEnd w:id="0"/>
    </w:p>
    <w:sectPr w:rsidR="00E8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F7"/>
    <w:rsid w:val="00A345F7"/>
    <w:rsid w:val="00E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4FA0-3A60-42B0-BFAE-BE5A97C4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A345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A345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Лиана Александровна</dc:creator>
  <cp:keywords/>
  <dc:description/>
  <cp:lastModifiedBy>Полевик Лиана Александровна</cp:lastModifiedBy>
  <cp:revision>1</cp:revision>
  <dcterms:created xsi:type="dcterms:W3CDTF">2025-09-22T06:27:00Z</dcterms:created>
  <dcterms:modified xsi:type="dcterms:W3CDTF">2025-09-22T06:28:00Z</dcterms:modified>
</cp:coreProperties>
</file>